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D0" w:rsidRDefault="009227D4">
      <w:pPr>
        <w:spacing w:after="0" w:line="259" w:lineRule="auto"/>
        <w:ind w:left="0" w:right="5" w:firstLine="0"/>
        <w:jc w:val="right"/>
      </w:pPr>
      <w:r>
        <w:rPr>
          <w:rFonts w:ascii="Calibri" w:eastAsia="Calibri" w:hAnsi="Calibri" w:cs="Calibri"/>
        </w:rPr>
        <w:t xml:space="preserve"> </w:t>
      </w:r>
    </w:p>
    <w:p w:rsidR="00713CD0" w:rsidRDefault="009227D4">
      <w:pPr>
        <w:spacing w:after="0" w:line="259" w:lineRule="auto"/>
        <w:ind w:left="0" w:right="0" w:firstLine="0"/>
        <w:jc w:val="right"/>
      </w:pPr>
      <w:r>
        <w:t xml:space="preserve"> </w:t>
      </w:r>
    </w:p>
    <w:p w:rsidR="003650D0" w:rsidRDefault="003650D0" w:rsidP="003650D0">
      <w:pPr>
        <w:pStyle w:val="Heading2"/>
      </w:pPr>
    </w:p>
    <w:p w:rsidR="00713CD0" w:rsidRDefault="009227D4" w:rsidP="003650D0">
      <w:pPr>
        <w:pStyle w:val="Heading2"/>
      </w:pPr>
      <w:r w:rsidRPr="003650D0">
        <w:t xml:space="preserve">FDAC Service Standards  </w:t>
      </w:r>
    </w:p>
    <w:p w:rsidR="00713CD0" w:rsidRDefault="009227D4">
      <w:pPr>
        <w:spacing w:after="0" w:line="259" w:lineRule="auto"/>
        <w:ind w:left="0" w:right="0" w:firstLine="0"/>
      </w:pPr>
      <w:r>
        <w:t xml:space="preserve"> </w:t>
      </w:r>
    </w:p>
    <w:p w:rsidR="00713CD0" w:rsidRDefault="003650D0">
      <w:pPr>
        <w:ind w:left="-5"/>
      </w:pPr>
      <w:r>
        <w:t>These</w:t>
      </w:r>
      <w:r w:rsidR="009227D4">
        <w:t xml:space="preserve"> Service Standards </w:t>
      </w:r>
      <w:r>
        <w:t xml:space="preserve">seek </w:t>
      </w:r>
      <w:r w:rsidR="009227D4">
        <w:t xml:space="preserve">to describe the key elements of an FDAC service that has fidelity to the </w:t>
      </w:r>
      <w:r>
        <w:t xml:space="preserve">evaluated </w:t>
      </w:r>
      <w:r w:rsidR="009227D4">
        <w:t>FDAC model</w:t>
      </w:r>
      <w:r w:rsidR="009227D4">
        <w:t>.</w:t>
      </w:r>
      <w:r w:rsidR="009227D4">
        <w:t xml:space="preserve">  </w:t>
      </w:r>
    </w:p>
    <w:p w:rsidR="00713CD0" w:rsidRDefault="009227D4">
      <w:pPr>
        <w:spacing w:after="0" w:line="259" w:lineRule="auto"/>
        <w:ind w:left="0" w:right="0" w:firstLine="0"/>
      </w:pPr>
      <w:r>
        <w:t xml:space="preserve"> </w:t>
      </w:r>
    </w:p>
    <w:tbl>
      <w:tblPr>
        <w:tblStyle w:val="TableGrid"/>
        <w:tblW w:w="90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440"/>
        <w:gridCol w:w="7643"/>
      </w:tblGrid>
      <w:tr w:rsidR="00713CD0" w:rsidTr="003650D0">
        <w:trPr>
          <w:trHeight w:val="725"/>
        </w:trPr>
        <w:tc>
          <w:tcPr>
            <w:tcW w:w="1440" w:type="dxa"/>
          </w:tcPr>
          <w:p w:rsidR="00713CD0" w:rsidRDefault="009227D4">
            <w:pPr>
              <w:spacing w:after="229" w:line="259" w:lineRule="auto"/>
              <w:ind w:left="0" w:right="0" w:firstLine="0"/>
            </w:pPr>
            <w:r>
              <w:t xml:space="preserve">Standard 1 </w:t>
            </w:r>
          </w:p>
          <w:p w:rsidR="00713CD0" w:rsidRDefault="009227D4">
            <w:pPr>
              <w:spacing w:after="0" w:line="259" w:lineRule="auto"/>
              <w:ind w:left="0" w:right="0" w:firstLine="0"/>
            </w:pPr>
            <w:r>
              <w:t xml:space="preserve"> </w:t>
            </w:r>
          </w:p>
        </w:tc>
        <w:tc>
          <w:tcPr>
            <w:tcW w:w="7643" w:type="dxa"/>
          </w:tcPr>
          <w:p w:rsidR="00713CD0" w:rsidRDefault="009227D4" w:rsidP="003650D0">
            <w:pPr>
              <w:spacing w:after="0" w:line="259" w:lineRule="auto"/>
              <w:ind w:left="0" w:right="0" w:firstLine="0"/>
            </w:pPr>
            <w:r>
              <w:t>FDAC is a therapeutic problem-</w:t>
            </w:r>
            <w:r>
              <w:t xml:space="preserve">solving family court with specially-trained judges and an independent, multidisciplinary assessment and intervention team. </w:t>
            </w:r>
          </w:p>
        </w:tc>
      </w:tr>
      <w:tr w:rsidR="00713CD0" w:rsidTr="003650D0">
        <w:trPr>
          <w:trHeight w:val="500"/>
        </w:trPr>
        <w:tc>
          <w:tcPr>
            <w:tcW w:w="1440" w:type="dxa"/>
          </w:tcPr>
          <w:p w:rsidR="00713CD0" w:rsidRDefault="009227D4">
            <w:pPr>
              <w:spacing w:after="0" w:line="259" w:lineRule="auto"/>
              <w:ind w:left="0" w:right="0" w:firstLine="0"/>
            </w:pPr>
            <w:r>
              <w:t xml:space="preserve">Standard 2  </w:t>
            </w:r>
          </w:p>
          <w:p w:rsidR="00713CD0" w:rsidRDefault="009227D4">
            <w:pPr>
              <w:spacing w:after="0" w:line="259" w:lineRule="auto"/>
              <w:ind w:left="55" w:right="0" w:firstLine="0"/>
              <w:jc w:val="center"/>
            </w:pPr>
            <w:r>
              <w:t xml:space="preserve"> </w:t>
            </w:r>
          </w:p>
        </w:tc>
        <w:tc>
          <w:tcPr>
            <w:tcW w:w="7643" w:type="dxa"/>
          </w:tcPr>
          <w:p w:rsidR="00713CD0" w:rsidRDefault="009227D4" w:rsidP="003650D0">
            <w:pPr>
              <w:spacing w:after="0" w:line="259" w:lineRule="auto"/>
              <w:ind w:left="0" w:right="0" w:firstLine="0"/>
            </w:pPr>
            <w:r>
              <w:t xml:space="preserve">There is a clear referral pathway into FDAC  </w:t>
            </w:r>
          </w:p>
        </w:tc>
      </w:tr>
      <w:tr w:rsidR="00713CD0" w:rsidTr="003650D0">
        <w:trPr>
          <w:trHeight w:val="749"/>
        </w:trPr>
        <w:tc>
          <w:tcPr>
            <w:tcW w:w="1440" w:type="dxa"/>
          </w:tcPr>
          <w:p w:rsidR="00713CD0" w:rsidRDefault="009227D4">
            <w:pPr>
              <w:spacing w:after="229" w:line="259" w:lineRule="auto"/>
              <w:ind w:left="0" w:right="0" w:firstLine="0"/>
            </w:pPr>
            <w:r>
              <w:t xml:space="preserve">Standard 3  </w:t>
            </w:r>
          </w:p>
          <w:p w:rsidR="00713CD0" w:rsidRDefault="009227D4">
            <w:pPr>
              <w:spacing w:after="0" w:line="259" w:lineRule="auto"/>
              <w:ind w:left="0" w:right="0" w:firstLine="0"/>
            </w:pPr>
            <w:r>
              <w:t xml:space="preserve"> </w:t>
            </w:r>
          </w:p>
        </w:tc>
        <w:tc>
          <w:tcPr>
            <w:tcW w:w="7643" w:type="dxa"/>
          </w:tcPr>
          <w:p w:rsidR="00713CD0" w:rsidRDefault="009227D4" w:rsidP="003650D0">
            <w:pPr>
              <w:spacing w:after="0" w:line="259" w:lineRule="auto"/>
              <w:ind w:left="0" w:right="0" w:firstLine="0"/>
              <w:jc w:val="both"/>
            </w:pPr>
            <w:r>
              <w:t>Parents are able to make an informed choice about whether to accept the offer of FDAC. All parents who choose to work with FDAC w</w:t>
            </w:r>
            <w:bookmarkStart w:id="0" w:name="_GoBack"/>
            <w:bookmarkEnd w:id="0"/>
            <w:r>
              <w:t xml:space="preserve">ill be offered a ‘trial for change’ </w:t>
            </w:r>
          </w:p>
        </w:tc>
      </w:tr>
      <w:tr w:rsidR="00713CD0" w:rsidTr="003650D0">
        <w:trPr>
          <w:trHeight w:val="998"/>
        </w:trPr>
        <w:tc>
          <w:tcPr>
            <w:tcW w:w="1440" w:type="dxa"/>
          </w:tcPr>
          <w:p w:rsidR="00713CD0" w:rsidRDefault="009227D4">
            <w:pPr>
              <w:spacing w:after="478" w:line="259" w:lineRule="auto"/>
              <w:ind w:left="0" w:right="0" w:firstLine="0"/>
            </w:pPr>
            <w:r>
              <w:t xml:space="preserve">Standard 4   </w:t>
            </w:r>
          </w:p>
          <w:p w:rsidR="00713CD0" w:rsidRDefault="009227D4">
            <w:pPr>
              <w:spacing w:after="0" w:line="259" w:lineRule="auto"/>
              <w:ind w:left="55" w:right="0" w:firstLine="0"/>
              <w:jc w:val="center"/>
            </w:pPr>
            <w:r>
              <w:t xml:space="preserve"> </w:t>
            </w:r>
          </w:p>
        </w:tc>
        <w:tc>
          <w:tcPr>
            <w:tcW w:w="7643" w:type="dxa"/>
          </w:tcPr>
          <w:p w:rsidR="00713CD0" w:rsidRDefault="009227D4" w:rsidP="003650D0">
            <w:pPr>
              <w:spacing w:after="0" w:line="259" w:lineRule="auto"/>
              <w:ind w:left="0" w:right="0" w:firstLine="0"/>
            </w:pPr>
            <w:r>
              <w:t>The assessment and intervention work of the FDAC specialist team starts p</w:t>
            </w:r>
            <w:r>
              <w:t xml:space="preserve">romptly and proceeds without delay and follows the FDAC reporting and court hearing timeline. </w:t>
            </w:r>
          </w:p>
        </w:tc>
      </w:tr>
      <w:tr w:rsidR="00713CD0" w:rsidTr="003650D0">
        <w:trPr>
          <w:trHeight w:val="887"/>
        </w:trPr>
        <w:tc>
          <w:tcPr>
            <w:tcW w:w="1440" w:type="dxa"/>
          </w:tcPr>
          <w:p w:rsidR="00713CD0" w:rsidRDefault="009227D4">
            <w:pPr>
              <w:spacing w:after="0" w:line="259" w:lineRule="auto"/>
              <w:ind w:left="0" w:right="0" w:firstLine="0"/>
            </w:pPr>
            <w:r>
              <w:t xml:space="preserve">Standard 5  </w:t>
            </w:r>
          </w:p>
        </w:tc>
        <w:tc>
          <w:tcPr>
            <w:tcW w:w="7643" w:type="dxa"/>
          </w:tcPr>
          <w:p w:rsidR="00713CD0" w:rsidRDefault="009227D4" w:rsidP="003650D0">
            <w:pPr>
              <w:spacing w:after="0" w:line="259" w:lineRule="auto"/>
              <w:ind w:left="0" w:right="0" w:firstLine="0"/>
            </w:pPr>
            <w:r>
              <w:t xml:space="preserve">The plans for children are revised as necessary, whilst remaining mindful of the timescales required by (a) the law and Public Law Outline, and (b) the importance of responding to children’s needs in a timely fashion. </w:t>
            </w:r>
          </w:p>
        </w:tc>
      </w:tr>
      <w:tr w:rsidR="00713CD0" w:rsidTr="003650D0">
        <w:trPr>
          <w:trHeight w:val="1030"/>
        </w:trPr>
        <w:tc>
          <w:tcPr>
            <w:tcW w:w="1440" w:type="dxa"/>
          </w:tcPr>
          <w:p w:rsidR="00713CD0" w:rsidRDefault="009227D4">
            <w:pPr>
              <w:spacing w:after="0" w:line="259" w:lineRule="auto"/>
              <w:ind w:left="0" w:right="0" w:firstLine="0"/>
            </w:pPr>
            <w:r>
              <w:t xml:space="preserve">Standard 6 </w:t>
            </w:r>
          </w:p>
        </w:tc>
        <w:tc>
          <w:tcPr>
            <w:tcW w:w="7643" w:type="dxa"/>
          </w:tcPr>
          <w:p w:rsidR="00713CD0" w:rsidRDefault="009227D4" w:rsidP="003650D0">
            <w:pPr>
              <w:spacing w:after="0" w:line="259" w:lineRule="auto"/>
              <w:ind w:left="0" w:right="0" w:firstLine="0"/>
            </w:pPr>
            <w:r>
              <w:t>Once the FDAC Interventi</w:t>
            </w:r>
            <w:r>
              <w:t xml:space="preserve">on Plan has the authority of the court the ‘trial for change’ begins, and parents and professionals have clear tasks to perform and a timescale to adhere to. </w:t>
            </w:r>
          </w:p>
        </w:tc>
      </w:tr>
      <w:tr w:rsidR="00713CD0" w:rsidTr="003650D0">
        <w:trPr>
          <w:trHeight w:val="1027"/>
        </w:trPr>
        <w:tc>
          <w:tcPr>
            <w:tcW w:w="1440" w:type="dxa"/>
          </w:tcPr>
          <w:p w:rsidR="00713CD0" w:rsidRDefault="009227D4">
            <w:pPr>
              <w:spacing w:after="0" w:line="259" w:lineRule="auto"/>
              <w:ind w:left="0" w:right="0" w:firstLine="0"/>
            </w:pPr>
            <w:r>
              <w:t xml:space="preserve">Standard 7   </w:t>
            </w:r>
          </w:p>
        </w:tc>
        <w:tc>
          <w:tcPr>
            <w:tcW w:w="7643" w:type="dxa"/>
          </w:tcPr>
          <w:p w:rsidR="00713CD0" w:rsidRDefault="009227D4" w:rsidP="003650D0">
            <w:pPr>
              <w:spacing w:after="0" w:line="259" w:lineRule="auto"/>
              <w:ind w:left="0" w:right="0" w:firstLine="0"/>
            </w:pPr>
            <w:r>
              <w:t xml:space="preserve">FDAC work is collaborative – </w:t>
            </w:r>
            <w:r>
              <w:t xml:space="preserve">there is regular communication between the judge and the specialist team, and both work closely with parents, the local authority and others involved with the children and their families. </w:t>
            </w:r>
          </w:p>
        </w:tc>
      </w:tr>
      <w:tr w:rsidR="00713CD0" w:rsidTr="003650D0">
        <w:trPr>
          <w:trHeight w:val="530"/>
        </w:trPr>
        <w:tc>
          <w:tcPr>
            <w:tcW w:w="1440" w:type="dxa"/>
          </w:tcPr>
          <w:p w:rsidR="00713CD0" w:rsidRDefault="009227D4">
            <w:pPr>
              <w:spacing w:after="0" w:line="259" w:lineRule="auto"/>
              <w:ind w:left="0" w:right="0" w:firstLine="0"/>
            </w:pPr>
            <w:r>
              <w:t xml:space="preserve">Standard 8  </w:t>
            </w:r>
          </w:p>
        </w:tc>
        <w:tc>
          <w:tcPr>
            <w:tcW w:w="7643" w:type="dxa"/>
          </w:tcPr>
          <w:p w:rsidR="00713CD0" w:rsidRDefault="009227D4" w:rsidP="003650D0">
            <w:pPr>
              <w:spacing w:after="0" w:line="259" w:lineRule="auto"/>
              <w:ind w:left="0" w:right="0" w:firstLine="0"/>
            </w:pPr>
            <w:r>
              <w:t>Parents have the opportunity of support from a parent</w:t>
            </w:r>
            <w:r>
              <w:t xml:space="preserve"> mentor. </w:t>
            </w:r>
          </w:p>
        </w:tc>
      </w:tr>
      <w:tr w:rsidR="00713CD0" w:rsidTr="003650D0">
        <w:trPr>
          <w:trHeight w:val="1027"/>
        </w:trPr>
        <w:tc>
          <w:tcPr>
            <w:tcW w:w="1440" w:type="dxa"/>
          </w:tcPr>
          <w:p w:rsidR="00713CD0" w:rsidRDefault="009227D4">
            <w:pPr>
              <w:spacing w:after="0" w:line="259" w:lineRule="auto"/>
              <w:ind w:left="0" w:right="0" w:firstLine="0"/>
            </w:pPr>
            <w:r>
              <w:t xml:space="preserve">Standard 9  </w:t>
            </w:r>
          </w:p>
        </w:tc>
        <w:tc>
          <w:tcPr>
            <w:tcW w:w="7643" w:type="dxa"/>
          </w:tcPr>
          <w:p w:rsidR="00713CD0" w:rsidRDefault="009227D4" w:rsidP="003650D0">
            <w:pPr>
              <w:spacing w:after="0" w:line="259" w:lineRule="auto"/>
              <w:ind w:left="0" w:right="24" w:firstLine="0"/>
            </w:pPr>
            <w:r>
              <w:t xml:space="preserve">The procedure in court, including the use of non-lawyer hearings, acknowledges the role of the judge as a catalyst for change, nurturing a positive relationship with parents and giving families a voice in the proceedings.   </w:t>
            </w:r>
            <w:r>
              <w:rPr>
                <w:color w:val="FF0000"/>
              </w:rPr>
              <w:t xml:space="preserve"> </w:t>
            </w:r>
          </w:p>
        </w:tc>
      </w:tr>
      <w:tr w:rsidR="00713CD0" w:rsidTr="003650D0">
        <w:trPr>
          <w:trHeight w:val="1115"/>
        </w:trPr>
        <w:tc>
          <w:tcPr>
            <w:tcW w:w="1440" w:type="dxa"/>
          </w:tcPr>
          <w:p w:rsidR="00713CD0" w:rsidRDefault="009227D4">
            <w:pPr>
              <w:spacing w:after="0" w:line="259" w:lineRule="auto"/>
              <w:ind w:left="0" w:right="0" w:firstLine="0"/>
            </w:pPr>
            <w:r>
              <w:t xml:space="preserve">Standard 10 </w:t>
            </w:r>
          </w:p>
        </w:tc>
        <w:tc>
          <w:tcPr>
            <w:tcW w:w="7643" w:type="dxa"/>
          </w:tcPr>
          <w:p w:rsidR="00713CD0" w:rsidRDefault="009227D4" w:rsidP="003650D0">
            <w:pPr>
              <w:spacing w:after="0" w:line="259" w:lineRule="auto"/>
              <w:ind w:left="0" w:right="0" w:firstLine="0"/>
            </w:pPr>
            <w:r>
              <w:t xml:space="preserve">The FDAC specialist team uses </w:t>
            </w:r>
            <w:r w:rsidR="003650D0">
              <w:t>national</w:t>
            </w:r>
            <w:r>
              <w:t xml:space="preserve"> data collection tools to measure the health and well-being of each child and parent during their time in FDAC, with a view to understanding the impact of FDAC on families and highlighting potenti</w:t>
            </w:r>
            <w:r>
              <w:t xml:space="preserve">al areas for improvement and service development. </w:t>
            </w:r>
          </w:p>
        </w:tc>
      </w:tr>
    </w:tbl>
    <w:p w:rsidR="000C36BB" w:rsidRDefault="000C36BB">
      <w:pPr>
        <w:ind w:left="-5"/>
      </w:pPr>
    </w:p>
    <w:p w:rsidR="00713CD0" w:rsidRDefault="009227D4">
      <w:pPr>
        <w:ind w:left="-5"/>
      </w:pPr>
      <w:r>
        <w:t xml:space="preserve">We call these the </w:t>
      </w:r>
      <w:r>
        <w:rPr>
          <w:i/>
        </w:rPr>
        <w:t>FDAC Service Standards</w:t>
      </w:r>
      <w:r>
        <w:t xml:space="preserve"> because, taken together, they summarise our expectations about (a) the provision and ethos of an FDAC service and (b) what a service in development will be working</w:t>
      </w:r>
      <w:r>
        <w:t xml:space="preserve"> towards. </w:t>
      </w:r>
    </w:p>
    <w:p w:rsidR="00713CD0" w:rsidRDefault="009227D4">
      <w:pPr>
        <w:spacing w:after="832" w:line="259" w:lineRule="auto"/>
        <w:ind w:left="0" w:right="0" w:firstLine="0"/>
      </w:pPr>
      <w:r>
        <w:rPr>
          <w:rFonts w:ascii="Calibri" w:eastAsia="Calibri" w:hAnsi="Calibri" w:cs="Calibri"/>
        </w:rPr>
        <w:t xml:space="preserve"> </w:t>
      </w:r>
    </w:p>
    <w:p w:rsidR="00713CD0" w:rsidRPr="003650D0" w:rsidRDefault="009227D4">
      <w:pPr>
        <w:spacing w:after="0" w:line="259" w:lineRule="auto"/>
        <w:ind w:left="0" w:right="54" w:firstLine="0"/>
        <w:jc w:val="right"/>
        <w:rPr>
          <w:sz w:val="20"/>
          <w:szCs w:val="20"/>
        </w:rPr>
      </w:pPr>
      <w:r w:rsidRPr="003650D0">
        <w:rPr>
          <w:rFonts w:eastAsia="Calibri" w:cs="Calibri"/>
          <w:sz w:val="20"/>
          <w:szCs w:val="20"/>
        </w:rPr>
        <w:t xml:space="preserve">1 </w:t>
      </w:r>
    </w:p>
    <w:p w:rsidR="00713CD0" w:rsidRDefault="009227D4">
      <w:pPr>
        <w:spacing w:after="0" w:line="259" w:lineRule="auto"/>
        <w:ind w:left="0" w:right="0" w:firstLine="0"/>
      </w:pPr>
      <w:r>
        <w:rPr>
          <w:rFonts w:ascii="Calibri" w:eastAsia="Calibri" w:hAnsi="Calibri" w:cs="Calibri"/>
        </w:rPr>
        <w:t xml:space="preserve"> </w:t>
      </w:r>
    </w:p>
    <w:sectPr w:rsidR="00713CD0">
      <w:headerReference w:type="default" r:id="rId6"/>
      <w:footnotePr>
        <w:numRestart w:val="eachPage"/>
      </w:footnotePr>
      <w:pgSz w:w="11906" w:h="16838"/>
      <w:pgMar w:top="708" w:right="138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D4" w:rsidRDefault="009227D4">
      <w:pPr>
        <w:spacing w:after="0" w:line="240" w:lineRule="auto"/>
      </w:pPr>
      <w:r>
        <w:separator/>
      </w:r>
    </w:p>
  </w:endnote>
  <w:endnote w:type="continuationSeparator" w:id="0">
    <w:p w:rsidR="009227D4" w:rsidRDefault="0092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D4" w:rsidRDefault="009227D4">
      <w:pPr>
        <w:spacing w:after="0" w:line="259" w:lineRule="auto"/>
        <w:ind w:left="0" w:right="0" w:firstLine="0"/>
      </w:pPr>
      <w:r>
        <w:separator/>
      </w:r>
    </w:p>
  </w:footnote>
  <w:footnote w:type="continuationSeparator" w:id="0">
    <w:p w:rsidR="009227D4" w:rsidRDefault="009227D4">
      <w:pPr>
        <w:spacing w:after="0" w:line="259"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D0" w:rsidRDefault="003650D0" w:rsidP="003650D0">
    <w:pPr>
      <w:pStyle w:val="Header"/>
    </w:pPr>
    <w:r w:rsidRPr="006F094B">
      <w:rPr>
        <w:b/>
        <w:noProof/>
        <w:color w:val="1A3D74"/>
        <w:sz w:val="28"/>
        <w:szCs w:val="28"/>
      </w:rPr>
      <w:drawing>
        <wp:anchor distT="0" distB="0" distL="114300" distR="114300" simplePos="0" relativeHeight="251659264" behindDoc="0" locked="0" layoutInCell="1" allowOverlap="1" wp14:anchorId="5B5B79A0" wp14:editId="5F55E330">
          <wp:simplePos x="0" y="0"/>
          <wp:positionH relativeFrom="margin">
            <wp:posOffset>4264660</wp:posOffset>
          </wp:positionH>
          <wp:positionV relativeFrom="paragraph">
            <wp:posOffset>9525</wp:posOffset>
          </wp:positionV>
          <wp:extent cx="1627505" cy="646430"/>
          <wp:effectExtent l="0" t="0" r="0" b="0"/>
          <wp:wrapNone/>
          <wp:docPr id="4" name="Picture 4" descr="C:\Users\COJI#7\Dropbox (CJI)\Shared FDAC NP files\Rebranding\FDAC New Logos 2020\PNG\FDCA_Log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JI#7\Dropbox (CJI)\Shared FDAC NP files\Rebranding\FDAC New Logos 2020\PNG\FDCA_Logo@3x.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778" b="11318"/>
                  <a:stretch/>
                </pic:blipFill>
                <pic:spPr bwMode="auto">
                  <a:xfrm>
                    <a:off x="0" y="0"/>
                    <a:ext cx="1627505"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094B">
      <w:rPr>
        <w:b/>
        <w:noProof/>
        <w:color w:val="1A3D74"/>
        <w:sz w:val="28"/>
        <w:szCs w:val="28"/>
      </w:rPr>
      <w:drawing>
        <wp:anchor distT="0" distB="0" distL="114300" distR="114300" simplePos="0" relativeHeight="251660288" behindDoc="0" locked="0" layoutInCell="1" allowOverlap="1" wp14:anchorId="7CF99023" wp14:editId="0D1B778B">
          <wp:simplePos x="0" y="0"/>
          <wp:positionH relativeFrom="margin">
            <wp:posOffset>0</wp:posOffset>
          </wp:positionH>
          <wp:positionV relativeFrom="paragraph">
            <wp:posOffset>0</wp:posOffset>
          </wp:positionV>
          <wp:extent cx="13595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I-Main-Logotype-Blackon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9535" cy="635635"/>
                  </a:xfrm>
                  <a:prstGeom prst="rect">
                    <a:avLst/>
                  </a:prstGeom>
                </pic:spPr>
              </pic:pic>
            </a:graphicData>
          </a:graphic>
          <wp14:sizeRelH relativeFrom="margin">
            <wp14:pctWidth>0</wp14:pctWidth>
          </wp14:sizeRelH>
          <wp14:sizeRelV relativeFrom="margin">
            <wp14:pctHeight>0</wp14:pctHeight>
          </wp14:sizeRelV>
        </wp:anchor>
      </w:drawing>
    </w:r>
  </w:p>
  <w:p w:rsidR="003650D0" w:rsidRDefault="00365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D0"/>
    <w:rsid w:val="000C36BB"/>
    <w:rsid w:val="003650D0"/>
    <w:rsid w:val="0062338E"/>
    <w:rsid w:val="00713CD0"/>
    <w:rsid w:val="0092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1372"/>
  <w15:docId w15:val="{9DC55966-9669-40F4-874D-1D18E40D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36" w:lineRule="auto"/>
      <w:ind w:left="10" w:right="31" w:hanging="10"/>
    </w:pPr>
    <w:rPr>
      <w:rFonts w:ascii="Franklin Gothic Book" w:eastAsia="Franklin Gothic Book" w:hAnsi="Franklin Gothic Book" w:cs="Franklin Gothic Book"/>
      <w:color w:val="000000"/>
    </w:rPr>
  </w:style>
  <w:style w:type="paragraph" w:styleId="Heading2">
    <w:name w:val="heading 2"/>
    <w:next w:val="Normal"/>
    <w:link w:val="Heading2Char"/>
    <w:uiPriority w:val="9"/>
    <w:unhideWhenUsed/>
    <w:qFormat/>
    <w:rsid w:val="003650D0"/>
    <w:pPr>
      <w:keepNext/>
      <w:keepLines/>
      <w:spacing w:after="0" w:line="240" w:lineRule="auto"/>
      <w:outlineLvl w:val="1"/>
    </w:pPr>
    <w:rPr>
      <w:rFonts w:ascii="Franklin Gothic Book" w:eastAsia="Franklin Gothic Book" w:hAnsi="Franklin Gothic Book" w:cs="Franklin Gothic Book"/>
      <w:b/>
      <w:color w:val="9D4C98"/>
      <w:sz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3650D0"/>
    <w:rPr>
      <w:rFonts w:ascii="Franklin Gothic Book" w:eastAsia="Franklin Gothic Book" w:hAnsi="Franklin Gothic Book" w:cs="Franklin Gothic Book"/>
      <w:b/>
      <w:color w:val="9D4C98"/>
      <w:sz w:val="28"/>
      <w:u w:color="000000"/>
    </w:rPr>
  </w:style>
  <w:style w:type="paragraph" w:styleId="Header">
    <w:name w:val="header"/>
    <w:basedOn w:val="Normal"/>
    <w:link w:val="HeaderChar"/>
    <w:uiPriority w:val="99"/>
    <w:unhideWhenUsed/>
    <w:rsid w:val="0036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D0"/>
    <w:rPr>
      <w:rFonts w:ascii="Franklin Gothic Book" w:eastAsia="Franklin Gothic Book" w:hAnsi="Franklin Gothic Book" w:cs="Franklin Gothic Book"/>
      <w:color w:val="000000"/>
    </w:rPr>
  </w:style>
  <w:style w:type="paragraph" w:styleId="Footer">
    <w:name w:val="footer"/>
    <w:basedOn w:val="Normal"/>
    <w:link w:val="FooterChar"/>
    <w:uiPriority w:val="99"/>
    <w:unhideWhenUsed/>
    <w:rsid w:val="0036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D0"/>
    <w:rPr>
      <w:rFonts w:ascii="Franklin Gothic Book" w:eastAsia="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Brent</dc:creator>
  <cp:keywords/>
  <cp:lastModifiedBy>Phillip Bowen</cp:lastModifiedBy>
  <cp:revision>2</cp:revision>
  <dcterms:created xsi:type="dcterms:W3CDTF">2020-02-24T13:03:00Z</dcterms:created>
  <dcterms:modified xsi:type="dcterms:W3CDTF">2020-02-24T13:03:00Z</dcterms:modified>
</cp:coreProperties>
</file>